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94"/>
        <w:gridCol w:w="5094"/>
      </w:tblGrid>
      <w:tr w:rsidR="00FB3747" w:rsidTr="00FB3747">
        <w:tc>
          <w:tcPr>
            <w:tcW w:w="10188" w:type="dxa"/>
            <w:gridSpan w:val="2"/>
          </w:tcPr>
          <w:p w:rsidR="00FB3747" w:rsidRDefault="00FB3747" w:rsidP="00FB3747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59264" behindDoc="1" locked="0" layoutInCell="1" allowOverlap="1" wp14:anchorId="1E78CE5E" wp14:editId="1B91BE1F">
                  <wp:simplePos x="0" y="0"/>
                  <wp:positionH relativeFrom="column">
                    <wp:posOffset>5368925</wp:posOffset>
                  </wp:positionH>
                  <wp:positionV relativeFrom="paragraph">
                    <wp:posOffset>115570</wp:posOffset>
                  </wp:positionV>
                  <wp:extent cx="1019175" cy="555625"/>
                  <wp:effectExtent l="0" t="0" r="9525" b="0"/>
                  <wp:wrapTight wrapText="bothSides">
                    <wp:wrapPolygon edited="0">
                      <wp:start x="404" y="0"/>
                      <wp:lineTo x="0" y="16293"/>
                      <wp:lineTo x="0" y="20736"/>
                      <wp:lineTo x="9286" y="20736"/>
                      <wp:lineTo x="11708" y="19995"/>
                      <wp:lineTo x="17764" y="14071"/>
                      <wp:lineTo x="17361" y="11849"/>
                      <wp:lineTo x="21398" y="6665"/>
                      <wp:lineTo x="21398" y="3703"/>
                      <wp:lineTo x="18976" y="0"/>
                      <wp:lineTo x="404" y="0"/>
                    </wp:wrapPolygon>
                  </wp:wrapTight>
                  <wp:docPr id="2" name="Picture 2" descr="Hamilton-Wentworth District School Board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amilton-Wentworth District School Board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555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B3747" w:rsidRDefault="00FB3747" w:rsidP="00FB3747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WESTDALE SECONDARY SCHOOL</w:t>
            </w:r>
          </w:p>
          <w:p w:rsidR="00FB3747" w:rsidRDefault="00FB3747" w:rsidP="00FB3747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HAMILTON-WENTWORTH DISTRICT SCHOOL BOARD</w:t>
            </w:r>
          </w:p>
          <w:p w:rsidR="00FB3747" w:rsidRPr="00FB3747" w:rsidRDefault="00FB3747" w:rsidP="00390CFB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58240" behindDoc="1" locked="0" layoutInCell="1" allowOverlap="1" wp14:anchorId="41377A29" wp14:editId="08565B01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-524510</wp:posOffset>
                  </wp:positionV>
                  <wp:extent cx="742950" cy="781050"/>
                  <wp:effectExtent l="0" t="0" r="0" b="0"/>
                  <wp:wrapTight wrapText="bothSides">
                    <wp:wrapPolygon edited="0">
                      <wp:start x="0" y="0"/>
                      <wp:lineTo x="0" y="21073"/>
                      <wp:lineTo x="21046" y="21073"/>
                      <wp:lineTo x="21046" y="0"/>
                      <wp:lineTo x="0" y="0"/>
                    </wp:wrapPolygon>
                  </wp:wrapTight>
                  <wp:docPr id="1" name="Picture 1" descr="Westdale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Westdale Logo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90CFB">
              <w:rPr>
                <w:rFonts w:ascii="Arial" w:hAnsi="Arial" w:cs="Arial"/>
                <w:b/>
                <w:sz w:val="24"/>
              </w:rPr>
              <w:t xml:space="preserve">FRENCH IMMERSION </w:t>
            </w:r>
            <w:r>
              <w:rPr>
                <w:rFonts w:ascii="Arial" w:hAnsi="Arial" w:cs="Arial"/>
                <w:b/>
                <w:sz w:val="24"/>
              </w:rPr>
              <w:t>DEPARTMENT</w:t>
            </w:r>
          </w:p>
        </w:tc>
      </w:tr>
      <w:tr w:rsidR="00FB3747" w:rsidTr="005C7595">
        <w:trPr>
          <w:trHeight w:val="601"/>
        </w:trPr>
        <w:tc>
          <w:tcPr>
            <w:tcW w:w="10188" w:type="dxa"/>
            <w:gridSpan w:val="2"/>
          </w:tcPr>
          <w:p w:rsidR="00FB3747" w:rsidRDefault="00390CFB" w:rsidP="00427CE1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FIF2D1I – FRENCH IMMERSION</w:t>
            </w:r>
          </w:p>
          <w:p w:rsidR="00427CE1" w:rsidRPr="00427CE1" w:rsidRDefault="00390CFB" w:rsidP="00390CFB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sz w:val="24"/>
              </w:rPr>
              <w:t>GRADE 10 ACADEMIC</w:t>
            </w:r>
          </w:p>
        </w:tc>
      </w:tr>
      <w:tr w:rsidR="005C7595" w:rsidTr="00FB3747">
        <w:trPr>
          <w:trHeight w:val="1680"/>
        </w:trPr>
        <w:tc>
          <w:tcPr>
            <w:tcW w:w="10188" w:type="dxa"/>
            <w:gridSpan w:val="2"/>
          </w:tcPr>
          <w:p w:rsidR="005C7595" w:rsidRDefault="005C7595" w:rsidP="005C7595">
            <w:pPr>
              <w:rPr>
                <w:rFonts w:ascii="Arial" w:hAnsi="Arial" w:cs="Arial"/>
              </w:rPr>
            </w:pPr>
            <w:r w:rsidRPr="00427CE1">
              <w:rPr>
                <w:rFonts w:ascii="Arial" w:hAnsi="Arial" w:cs="Arial"/>
                <w:b/>
              </w:rPr>
              <w:t>Course Description:</w:t>
            </w:r>
            <w:r w:rsidR="00390CFB">
              <w:rPr>
                <w:rFonts w:ascii="Arial" w:hAnsi="Arial" w:cs="Arial"/>
                <w:b/>
              </w:rPr>
              <w:t xml:space="preserve"> </w:t>
            </w:r>
            <w:r w:rsidR="00390CFB" w:rsidRPr="00390CFB">
              <w:rPr>
                <w:rFonts w:ascii="Arial" w:hAnsi="Arial" w:cs="Arial"/>
              </w:rPr>
              <w:t>This course enables students to increase their knowledge of the French language and to further develop their language skills through the study of twentieth-century European francophone literature and culture. Students will participate in oral communication, reading, and writing activities based on a variety of French literary and media works. They will study at least one novel and a selection of poems, short stories, films, plays, and newspaper and magazine articles.</w:t>
            </w:r>
          </w:p>
          <w:p w:rsidR="005C7595" w:rsidRDefault="005C7595" w:rsidP="005C7595">
            <w:pPr>
              <w:rPr>
                <w:rFonts w:ascii="Arial" w:hAnsi="Arial" w:cs="Arial"/>
              </w:rPr>
            </w:pPr>
          </w:p>
          <w:p w:rsidR="005C7595" w:rsidRPr="00390CFB" w:rsidRDefault="005C7595" w:rsidP="005C75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Ministry Guideline: </w:t>
            </w:r>
            <w:r w:rsidR="00390CFB">
              <w:rPr>
                <w:rFonts w:ascii="Arial" w:hAnsi="Arial" w:cs="Arial"/>
              </w:rPr>
              <w:t>French as a Second Language – Core, Extended, and Immersion French, 1999</w:t>
            </w:r>
          </w:p>
          <w:p w:rsidR="005C7595" w:rsidRDefault="005C7595" w:rsidP="005C7595">
            <w:pPr>
              <w:rPr>
                <w:rFonts w:ascii="Arial" w:hAnsi="Arial" w:cs="Arial"/>
                <w:b/>
              </w:rPr>
            </w:pPr>
          </w:p>
          <w:p w:rsidR="005C7595" w:rsidRPr="00390CFB" w:rsidRDefault="005C7595" w:rsidP="005C75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Credit Value:</w:t>
            </w:r>
            <w:r w:rsidR="00390CFB">
              <w:rPr>
                <w:rFonts w:ascii="Arial" w:hAnsi="Arial" w:cs="Arial"/>
                <w:b/>
              </w:rPr>
              <w:t xml:space="preserve"> </w:t>
            </w:r>
            <w:r w:rsidR="00390CFB">
              <w:rPr>
                <w:rFonts w:ascii="Arial" w:hAnsi="Arial" w:cs="Arial"/>
              </w:rPr>
              <w:t>1</w:t>
            </w:r>
          </w:p>
          <w:p w:rsidR="005C7595" w:rsidRDefault="005C7595" w:rsidP="005C7595">
            <w:pPr>
              <w:rPr>
                <w:rFonts w:ascii="Arial" w:hAnsi="Arial" w:cs="Arial"/>
              </w:rPr>
            </w:pPr>
          </w:p>
          <w:p w:rsidR="005C7595" w:rsidRPr="00390CFB" w:rsidRDefault="005C7595" w:rsidP="005C75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Prerequisite(s):</w:t>
            </w:r>
            <w:r w:rsidR="00390CFB">
              <w:rPr>
                <w:rFonts w:ascii="Arial" w:hAnsi="Arial" w:cs="Arial"/>
                <w:b/>
              </w:rPr>
              <w:t xml:space="preserve"> </w:t>
            </w:r>
            <w:r w:rsidR="00390CFB">
              <w:rPr>
                <w:rFonts w:ascii="Arial" w:hAnsi="Arial" w:cs="Arial"/>
              </w:rPr>
              <w:t>FIF1D1I</w:t>
            </w:r>
          </w:p>
          <w:p w:rsidR="005C7595" w:rsidRDefault="005C7595" w:rsidP="005C7595">
            <w:pPr>
              <w:rPr>
                <w:rFonts w:ascii="Arial" w:hAnsi="Arial" w:cs="Arial"/>
              </w:rPr>
            </w:pPr>
          </w:p>
          <w:p w:rsidR="005C7595" w:rsidRPr="00390CFB" w:rsidRDefault="005C7595" w:rsidP="005C75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Textbooks/Required Materials:</w:t>
            </w:r>
            <w:r w:rsidR="00390CFB">
              <w:rPr>
                <w:rFonts w:ascii="Arial" w:hAnsi="Arial" w:cs="Arial"/>
                <w:b/>
              </w:rPr>
              <w:t xml:space="preserve"> </w:t>
            </w:r>
            <w:r w:rsidR="002F12E1">
              <w:rPr>
                <w:rFonts w:ascii="Arial" w:hAnsi="Arial" w:cs="Arial"/>
              </w:rPr>
              <w:t>binder, paper, writing utensils</w:t>
            </w:r>
          </w:p>
          <w:p w:rsidR="005C7595" w:rsidRDefault="005C7595" w:rsidP="005C7595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5C7595" w:rsidTr="005C7595">
        <w:trPr>
          <w:trHeight w:val="249"/>
        </w:trPr>
        <w:tc>
          <w:tcPr>
            <w:tcW w:w="10188" w:type="dxa"/>
            <w:gridSpan w:val="2"/>
          </w:tcPr>
          <w:p w:rsidR="005C7595" w:rsidRPr="005C7595" w:rsidRDefault="005C7595" w:rsidP="005C759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TEACHER INFORMATION</w:t>
            </w:r>
          </w:p>
        </w:tc>
      </w:tr>
      <w:tr w:rsidR="006E2428" w:rsidRPr="00390CFB" w:rsidTr="00DE60EB">
        <w:tc>
          <w:tcPr>
            <w:tcW w:w="5094" w:type="dxa"/>
          </w:tcPr>
          <w:p w:rsidR="006E2428" w:rsidRPr="00390CFB" w:rsidRDefault="006E2428" w:rsidP="006E2428">
            <w:pPr>
              <w:rPr>
                <w:rFonts w:ascii="Arial" w:hAnsi="Arial" w:cs="Arial"/>
              </w:rPr>
            </w:pPr>
            <w:r w:rsidRPr="006E2428">
              <w:rPr>
                <w:rFonts w:ascii="Arial" w:hAnsi="Arial" w:cs="Arial"/>
                <w:b/>
              </w:rPr>
              <w:t>Teacher:</w:t>
            </w:r>
            <w:r w:rsidR="00390CFB">
              <w:rPr>
                <w:rFonts w:ascii="Arial" w:hAnsi="Arial" w:cs="Arial"/>
                <w:b/>
              </w:rPr>
              <w:t xml:space="preserve"> </w:t>
            </w:r>
            <w:r w:rsidR="00390CFB">
              <w:rPr>
                <w:rFonts w:ascii="Arial" w:hAnsi="Arial" w:cs="Arial"/>
              </w:rPr>
              <w:t>Ms. J. Rimnyak</w:t>
            </w:r>
          </w:p>
          <w:p w:rsidR="006E2428" w:rsidRDefault="006E2428" w:rsidP="006E24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Phone Number: </w:t>
            </w:r>
            <w:r>
              <w:rPr>
                <w:rFonts w:ascii="Arial" w:hAnsi="Arial" w:cs="Arial"/>
              </w:rPr>
              <w:t>905-522-1387 ext.</w:t>
            </w:r>
            <w:r w:rsidR="00390CFB">
              <w:rPr>
                <w:rFonts w:ascii="Arial" w:hAnsi="Arial" w:cs="Arial"/>
              </w:rPr>
              <w:t xml:space="preserve"> 610</w:t>
            </w:r>
          </w:p>
          <w:p w:rsidR="006E2428" w:rsidRPr="006E2428" w:rsidRDefault="006E2428" w:rsidP="006E2428">
            <w:pPr>
              <w:rPr>
                <w:rFonts w:ascii="Arial" w:hAnsi="Arial" w:cs="Arial"/>
                <w:sz w:val="10"/>
              </w:rPr>
            </w:pPr>
          </w:p>
        </w:tc>
        <w:tc>
          <w:tcPr>
            <w:tcW w:w="5094" w:type="dxa"/>
          </w:tcPr>
          <w:p w:rsidR="006E2428" w:rsidRPr="00390CFB" w:rsidRDefault="006E2428" w:rsidP="006E2428">
            <w:pPr>
              <w:rPr>
                <w:rFonts w:ascii="Arial" w:hAnsi="Arial" w:cs="Arial"/>
                <w:lang w:val="fr-FR"/>
              </w:rPr>
            </w:pPr>
            <w:r w:rsidRPr="00390CFB">
              <w:rPr>
                <w:rFonts w:ascii="Arial" w:hAnsi="Arial" w:cs="Arial"/>
                <w:b/>
                <w:lang w:val="fr-FR"/>
              </w:rPr>
              <w:t>Email:</w:t>
            </w:r>
            <w:r w:rsidR="00390CFB" w:rsidRPr="00390CFB">
              <w:rPr>
                <w:rFonts w:ascii="Arial" w:hAnsi="Arial" w:cs="Arial"/>
                <w:b/>
                <w:lang w:val="fr-FR"/>
              </w:rPr>
              <w:t xml:space="preserve"> </w:t>
            </w:r>
            <w:r w:rsidR="00390CFB" w:rsidRPr="00390CFB">
              <w:rPr>
                <w:rFonts w:ascii="Arial" w:hAnsi="Arial" w:cs="Arial"/>
                <w:lang w:val="fr-FR"/>
              </w:rPr>
              <w:t>jrimnyak@hwdsb.on.ca</w:t>
            </w:r>
          </w:p>
          <w:p w:rsidR="006E2428" w:rsidRPr="00390CFB" w:rsidRDefault="006E2428" w:rsidP="00390CFB">
            <w:pPr>
              <w:rPr>
                <w:rFonts w:ascii="Arial" w:hAnsi="Arial" w:cs="Arial"/>
                <w:lang w:val="fr-FR"/>
              </w:rPr>
            </w:pPr>
            <w:proofErr w:type="spellStart"/>
            <w:r w:rsidRPr="00390CFB">
              <w:rPr>
                <w:rFonts w:ascii="Arial" w:hAnsi="Arial" w:cs="Arial"/>
                <w:b/>
                <w:lang w:val="fr-FR"/>
              </w:rPr>
              <w:t>Website</w:t>
            </w:r>
            <w:proofErr w:type="spellEnd"/>
            <w:r w:rsidRPr="00390CFB">
              <w:rPr>
                <w:rFonts w:ascii="Arial" w:hAnsi="Arial" w:cs="Arial"/>
                <w:b/>
                <w:lang w:val="fr-FR"/>
              </w:rPr>
              <w:t xml:space="preserve">: </w:t>
            </w:r>
            <w:r w:rsidR="00390CFB" w:rsidRPr="00390CFB">
              <w:rPr>
                <w:rFonts w:ascii="Arial" w:hAnsi="Arial" w:cs="Arial"/>
                <w:lang w:val="fr-FR"/>
              </w:rPr>
              <w:t>rimnyakonline.wikispaces.com</w:t>
            </w:r>
          </w:p>
          <w:p w:rsidR="00390CFB" w:rsidRPr="00390CFB" w:rsidRDefault="00390CFB" w:rsidP="00390CF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  <w:lang w:val="fr-FR"/>
              </w:rPr>
              <w:t>Twitter</w:t>
            </w:r>
            <w:proofErr w:type="spellEnd"/>
            <w:r>
              <w:rPr>
                <w:rFonts w:ascii="Arial" w:hAnsi="Arial" w:cs="Arial"/>
                <w:b/>
                <w:lang w:val="fr-FR"/>
              </w:rPr>
              <w:t xml:space="preserve">: </w:t>
            </w:r>
            <w:r>
              <w:rPr>
                <w:rFonts w:ascii="Arial" w:hAnsi="Arial" w:cs="Arial"/>
                <w:lang w:val="fr-FR"/>
              </w:rPr>
              <w:t>@</w:t>
            </w:r>
            <w:proofErr w:type="spellStart"/>
            <w:r>
              <w:rPr>
                <w:rFonts w:ascii="Arial" w:hAnsi="Arial" w:cs="Arial"/>
                <w:lang w:val="fr-FR"/>
              </w:rPr>
              <w:t>MissRimnyak</w:t>
            </w:r>
            <w:proofErr w:type="spellEnd"/>
          </w:p>
        </w:tc>
      </w:tr>
      <w:tr w:rsidR="005C7595" w:rsidTr="00C5009C">
        <w:tc>
          <w:tcPr>
            <w:tcW w:w="10188" w:type="dxa"/>
            <w:gridSpan w:val="2"/>
          </w:tcPr>
          <w:p w:rsidR="005C7595" w:rsidRDefault="005C7595" w:rsidP="005C759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COURSE CURRICULUM</w:t>
            </w:r>
          </w:p>
        </w:tc>
      </w:tr>
      <w:tr w:rsidR="00FB3747" w:rsidTr="00FB3747">
        <w:tc>
          <w:tcPr>
            <w:tcW w:w="10188" w:type="dxa"/>
            <w:gridSpan w:val="2"/>
          </w:tcPr>
          <w:p w:rsidR="00FB3747" w:rsidRDefault="006E2428" w:rsidP="00FB374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Curriculum Strands and Overall Expectations</w:t>
            </w:r>
            <w:r w:rsidR="005C7595">
              <w:rPr>
                <w:rFonts w:ascii="Arial" w:hAnsi="Arial" w:cs="Arial"/>
                <w:b/>
              </w:rPr>
              <w:t>:</w:t>
            </w:r>
          </w:p>
          <w:p w:rsidR="00390CFB" w:rsidRDefault="00390CFB" w:rsidP="00390CFB">
            <w:pPr>
              <w:rPr>
                <w:rFonts w:ascii="Arial" w:hAnsi="Arial" w:cs="Arial"/>
                <w:u w:val="single"/>
              </w:rPr>
            </w:pPr>
          </w:p>
          <w:p w:rsidR="00390CFB" w:rsidRPr="00390CFB" w:rsidRDefault="00390CFB" w:rsidP="00390CFB">
            <w:pPr>
              <w:rPr>
                <w:rFonts w:ascii="Arial" w:hAnsi="Arial" w:cs="Arial"/>
                <w:u w:val="single"/>
              </w:rPr>
            </w:pPr>
            <w:r w:rsidRPr="00390CFB">
              <w:rPr>
                <w:rFonts w:ascii="Arial" w:hAnsi="Arial" w:cs="Arial"/>
                <w:u w:val="single"/>
              </w:rPr>
              <w:t>Oral Communication</w:t>
            </w:r>
          </w:p>
          <w:p w:rsidR="00390CFB" w:rsidRPr="00390CFB" w:rsidRDefault="00390CFB" w:rsidP="00390CFB">
            <w:pPr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390CFB">
              <w:rPr>
                <w:rFonts w:ascii="Arial" w:hAnsi="Arial" w:cs="Arial"/>
              </w:rPr>
              <w:t>listen and respond to a broad range of spoken texts and media works intended for a</w:t>
            </w:r>
            <w:r>
              <w:rPr>
                <w:rFonts w:ascii="Arial" w:hAnsi="Arial" w:cs="Arial"/>
                <w:u w:val="single"/>
              </w:rPr>
              <w:t xml:space="preserve"> </w:t>
            </w:r>
            <w:r w:rsidRPr="00390CFB">
              <w:rPr>
                <w:rFonts w:ascii="Arial" w:hAnsi="Arial" w:cs="Arial"/>
              </w:rPr>
              <w:t>French-speaking audience;</w:t>
            </w:r>
          </w:p>
          <w:p w:rsidR="00390CFB" w:rsidRPr="00390CFB" w:rsidRDefault="00390CFB" w:rsidP="00390C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390CFB">
              <w:rPr>
                <w:rFonts w:ascii="Arial" w:hAnsi="Arial" w:cs="Arial"/>
              </w:rPr>
              <w:t>explain ideas and opinions in small-group discussions, impromptu exchanges, large-group</w:t>
            </w:r>
            <w:r>
              <w:rPr>
                <w:rFonts w:ascii="Arial" w:hAnsi="Arial" w:cs="Arial"/>
              </w:rPr>
              <w:t xml:space="preserve"> </w:t>
            </w:r>
            <w:r w:rsidRPr="00390CFB">
              <w:rPr>
                <w:rFonts w:ascii="Arial" w:hAnsi="Arial" w:cs="Arial"/>
              </w:rPr>
              <w:t>presentations, and formal debates;</w:t>
            </w:r>
          </w:p>
          <w:p w:rsidR="00390CFB" w:rsidRPr="00390CFB" w:rsidRDefault="00390CFB" w:rsidP="00390C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390CFB">
              <w:rPr>
                <w:rFonts w:ascii="Arial" w:hAnsi="Arial" w:cs="Arial"/>
              </w:rPr>
              <w:t>understand extended dialogues and other spoken texts from various European French speaking regions;</w:t>
            </w:r>
          </w:p>
          <w:p w:rsidR="00390CFB" w:rsidRDefault="00390CFB" w:rsidP="00390C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390CFB">
              <w:rPr>
                <w:rFonts w:ascii="Arial" w:hAnsi="Arial" w:cs="Arial"/>
              </w:rPr>
              <w:t>use appropriate language conventions during oral communication activities.</w:t>
            </w:r>
          </w:p>
          <w:p w:rsidR="00390CFB" w:rsidRDefault="00390CFB" w:rsidP="00390CFB">
            <w:pPr>
              <w:rPr>
                <w:rFonts w:ascii="Arial" w:hAnsi="Arial" w:cs="Arial"/>
              </w:rPr>
            </w:pPr>
          </w:p>
          <w:p w:rsidR="00390CFB" w:rsidRPr="00390CFB" w:rsidRDefault="00390CFB" w:rsidP="00390CFB">
            <w:pPr>
              <w:rPr>
                <w:rFonts w:ascii="Arial" w:hAnsi="Arial" w:cs="Arial"/>
                <w:u w:val="single"/>
              </w:rPr>
            </w:pPr>
            <w:r w:rsidRPr="00390CFB">
              <w:rPr>
                <w:rFonts w:ascii="Arial" w:hAnsi="Arial" w:cs="Arial"/>
                <w:u w:val="single"/>
              </w:rPr>
              <w:t>Reading</w:t>
            </w:r>
          </w:p>
          <w:p w:rsidR="00390CFB" w:rsidRPr="00390CFB" w:rsidRDefault="00390CFB" w:rsidP="00390C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390CFB">
              <w:rPr>
                <w:rFonts w:ascii="Arial" w:hAnsi="Arial" w:cs="Arial"/>
              </w:rPr>
              <w:t>read and demonstrate an understanding of a variety of materials intended for a French speaking audience;</w:t>
            </w:r>
          </w:p>
          <w:p w:rsidR="00390CFB" w:rsidRPr="00390CFB" w:rsidRDefault="00390CFB" w:rsidP="00390C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390CFB">
              <w:rPr>
                <w:rFonts w:ascii="Arial" w:hAnsi="Arial" w:cs="Arial"/>
              </w:rPr>
              <w:t>interpret authentic texts written on diverse topics;</w:t>
            </w:r>
          </w:p>
          <w:p w:rsidR="00390CFB" w:rsidRPr="00390CFB" w:rsidRDefault="00390CFB" w:rsidP="00390C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390CFB">
              <w:rPr>
                <w:rFonts w:ascii="Arial" w:hAnsi="Arial" w:cs="Arial"/>
              </w:rPr>
              <w:t>read literary works and other authentic texts to acquire an understanding of the cultures of French-speaking people in Europe;</w:t>
            </w:r>
          </w:p>
          <w:p w:rsidR="00390CFB" w:rsidRPr="00390CFB" w:rsidRDefault="00390CFB" w:rsidP="00390C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390CFB">
              <w:rPr>
                <w:rFonts w:ascii="Arial" w:hAnsi="Arial" w:cs="Arial"/>
              </w:rPr>
              <w:t>identify and understand language conventions used in their reading materials.</w:t>
            </w:r>
          </w:p>
          <w:p w:rsidR="00390CFB" w:rsidRPr="00390CFB" w:rsidRDefault="00390CFB" w:rsidP="00390CFB">
            <w:pPr>
              <w:rPr>
                <w:rFonts w:ascii="Arial" w:hAnsi="Arial" w:cs="Arial"/>
              </w:rPr>
            </w:pPr>
          </w:p>
          <w:p w:rsidR="00390CFB" w:rsidRPr="00390CFB" w:rsidRDefault="00390CFB" w:rsidP="00390CFB">
            <w:pPr>
              <w:rPr>
                <w:rFonts w:ascii="Arial" w:hAnsi="Arial" w:cs="Arial"/>
                <w:u w:val="single"/>
              </w:rPr>
            </w:pPr>
            <w:r w:rsidRPr="00390CFB">
              <w:rPr>
                <w:rFonts w:ascii="Arial" w:hAnsi="Arial" w:cs="Arial"/>
                <w:u w:val="single"/>
              </w:rPr>
              <w:t>Writing</w:t>
            </w:r>
          </w:p>
          <w:p w:rsidR="00390CFB" w:rsidRPr="00390CFB" w:rsidRDefault="00390CFB" w:rsidP="00390C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390CFB">
              <w:rPr>
                <w:rFonts w:ascii="Arial" w:hAnsi="Arial" w:cs="Arial"/>
              </w:rPr>
              <w:t>write clearly, coherently, and persuasively on diverse topics, choosing a form appropriate to</w:t>
            </w:r>
          </w:p>
          <w:p w:rsidR="00390CFB" w:rsidRPr="00390CFB" w:rsidRDefault="00390CFB" w:rsidP="00390CFB">
            <w:pPr>
              <w:rPr>
                <w:rFonts w:ascii="Arial" w:hAnsi="Arial" w:cs="Arial"/>
              </w:rPr>
            </w:pPr>
            <w:r w:rsidRPr="00390CFB">
              <w:rPr>
                <w:rFonts w:ascii="Arial" w:hAnsi="Arial" w:cs="Arial"/>
              </w:rPr>
              <w:t>the context;</w:t>
            </w:r>
          </w:p>
          <w:p w:rsidR="00390CFB" w:rsidRPr="00390CFB" w:rsidRDefault="00390CFB" w:rsidP="00390C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390CFB">
              <w:rPr>
                <w:rFonts w:ascii="Arial" w:hAnsi="Arial" w:cs="Arial"/>
              </w:rPr>
              <w:t>write in a variety of forms, adjusting their style and register to suit the purpose and the</w:t>
            </w:r>
          </w:p>
          <w:p w:rsidR="00390CFB" w:rsidRPr="00390CFB" w:rsidRDefault="00390CFB" w:rsidP="00390CFB">
            <w:pPr>
              <w:rPr>
                <w:rFonts w:ascii="Arial" w:hAnsi="Arial" w:cs="Arial"/>
              </w:rPr>
            </w:pPr>
            <w:r w:rsidRPr="00390CFB">
              <w:rPr>
                <w:rFonts w:ascii="Arial" w:hAnsi="Arial" w:cs="Arial"/>
              </w:rPr>
              <w:t>audience;</w:t>
            </w:r>
          </w:p>
          <w:p w:rsidR="00390CFB" w:rsidRPr="00390CFB" w:rsidRDefault="00390CFB" w:rsidP="00390C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390CFB">
              <w:rPr>
                <w:rFonts w:ascii="Arial" w:hAnsi="Arial" w:cs="Arial"/>
              </w:rPr>
              <w:t>identify and use appropriate language conventions in their written work.</w:t>
            </w:r>
          </w:p>
          <w:p w:rsidR="005C7595" w:rsidRDefault="005C7595" w:rsidP="00FB3747">
            <w:pPr>
              <w:rPr>
                <w:rFonts w:ascii="Arial" w:hAnsi="Arial" w:cs="Arial"/>
              </w:rPr>
            </w:pPr>
          </w:p>
          <w:p w:rsidR="005C7595" w:rsidRDefault="005C7595" w:rsidP="00FB3747">
            <w:pPr>
              <w:rPr>
                <w:rFonts w:ascii="Arial" w:hAnsi="Arial" w:cs="Arial"/>
              </w:rPr>
            </w:pPr>
          </w:p>
          <w:p w:rsidR="00390CFB" w:rsidRPr="005C7595" w:rsidRDefault="00390CFB" w:rsidP="00FB3747">
            <w:pPr>
              <w:rPr>
                <w:rFonts w:ascii="Arial" w:hAnsi="Arial" w:cs="Arial"/>
              </w:rPr>
            </w:pPr>
          </w:p>
        </w:tc>
      </w:tr>
      <w:tr w:rsidR="005C7595" w:rsidTr="00FB3747">
        <w:tc>
          <w:tcPr>
            <w:tcW w:w="10188" w:type="dxa"/>
            <w:gridSpan w:val="2"/>
          </w:tcPr>
          <w:p w:rsidR="005C7595" w:rsidRDefault="005C7595" w:rsidP="005C759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ASSESSMENT &amp; EVALUATION</w:t>
            </w:r>
          </w:p>
        </w:tc>
      </w:tr>
      <w:tr w:rsidR="00FB3747" w:rsidTr="00FB3747">
        <w:tc>
          <w:tcPr>
            <w:tcW w:w="10188" w:type="dxa"/>
            <w:gridSpan w:val="2"/>
          </w:tcPr>
          <w:p w:rsidR="00FB3747" w:rsidRDefault="005C7595" w:rsidP="00FB374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Determination of Final Grade:</w:t>
            </w:r>
          </w:p>
          <w:p w:rsidR="005C7595" w:rsidRDefault="005C7595" w:rsidP="00FB374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Students’ final marks will be calculated using the following weighting:</w:t>
            </w:r>
          </w:p>
          <w:p w:rsidR="005C7595" w:rsidRPr="004246B0" w:rsidRDefault="005C7595" w:rsidP="005C7595">
            <w:pPr>
              <w:pStyle w:val="BodyText"/>
              <w:spacing w:line="240" w:lineRule="auto"/>
              <w:ind w:left="1134" w:firstLine="284"/>
              <w:rPr>
                <w:rFonts w:cs="Arial"/>
                <w:bCs/>
                <w:sz w:val="22"/>
                <w:szCs w:val="22"/>
              </w:rPr>
            </w:pPr>
            <w:r w:rsidRPr="004246B0">
              <w:rPr>
                <w:rFonts w:cs="Arial"/>
                <w:bCs/>
                <w:sz w:val="22"/>
                <w:szCs w:val="22"/>
              </w:rPr>
              <w:t>Term Work</w:t>
            </w:r>
            <w:r w:rsidRPr="004246B0">
              <w:rPr>
                <w:rFonts w:cs="Arial"/>
                <w:bCs/>
                <w:sz w:val="22"/>
                <w:szCs w:val="22"/>
              </w:rPr>
              <w:tab/>
            </w:r>
            <w:r w:rsidRPr="004246B0">
              <w:rPr>
                <w:rFonts w:cs="Arial"/>
                <w:bCs/>
                <w:sz w:val="22"/>
                <w:szCs w:val="22"/>
              </w:rPr>
              <w:tab/>
            </w:r>
            <w:r w:rsidRPr="004246B0">
              <w:rPr>
                <w:rFonts w:cs="Arial"/>
                <w:bCs/>
                <w:sz w:val="22"/>
                <w:szCs w:val="22"/>
              </w:rPr>
              <w:tab/>
            </w:r>
            <w:r w:rsidRPr="004246B0">
              <w:rPr>
                <w:rFonts w:cs="Arial"/>
                <w:bCs/>
                <w:sz w:val="22"/>
                <w:szCs w:val="22"/>
              </w:rPr>
              <w:tab/>
            </w:r>
            <w:r w:rsidRPr="004246B0">
              <w:rPr>
                <w:rFonts w:cs="Arial"/>
                <w:bCs/>
                <w:sz w:val="22"/>
                <w:szCs w:val="22"/>
              </w:rPr>
              <w:tab/>
              <w:t>70%</w:t>
            </w:r>
          </w:p>
          <w:p w:rsidR="005C7595" w:rsidRPr="004246B0" w:rsidRDefault="002F12E1" w:rsidP="005C7595">
            <w:pPr>
              <w:pStyle w:val="BodyText"/>
              <w:spacing w:line="240" w:lineRule="auto"/>
              <w:ind w:left="1134" w:firstLine="284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 xml:space="preserve">Final Culminating Tasks                                </w:t>
            </w:r>
            <w:bookmarkStart w:id="0" w:name="_GoBack"/>
            <w:bookmarkEnd w:id="0"/>
            <w:r w:rsidR="00132EA2">
              <w:rPr>
                <w:rFonts w:cs="Arial"/>
                <w:bCs/>
                <w:sz w:val="22"/>
                <w:szCs w:val="22"/>
              </w:rPr>
              <w:t>15</w:t>
            </w:r>
            <w:r w:rsidR="005C7595" w:rsidRPr="004246B0">
              <w:rPr>
                <w:rFonts w:cs="Arial"/>
                <w:bCs/>
                <w:sz w:val="22"/>
                <w:szCs w:val="22"/>
              </w:rPr>
              <w:t>%</w:t>
            </w:r>
          </w:p>
          <w:p w:rsidR="005C7595" w:rsidRPr="004246B0" w:rsidRDefault="005C7595" w:rsidP="005C7595">
            <w:pPr>
              <w:pStyle w:val="BodyText"/>
              <w:spacing w:line="240" w:lineRule="auto"/>
              <w:ind w:left="1134" w:firstLine="284"/>
              <w:rPr>
                <w:rFonts w:cs="Arial"/>
                <w:bCs/>
                <w:sz w:val="22"/>
                <w:szCs w:val="22"/>
                <w:u w:val="single"/>
              </w:rPr>
            </w:pPr>
            <w:r w:rsidRPr="004246B0">
              <w:rPr>
                <w:rFonts w:cs="Arial"/>
                <w:bCs/>
                <w:sz w:val="22"/>
                <w:szCs w:val="22"/>
                <w:u w:val="single"/>
              </w:rPr>
              <w:t>Final Examination</w:t>
            </w:r>
            <w:r w:rsidRPr="004246B0">
              <w:rPr>
                <w:rFonts w:cs="Arial"/>
                <w:bCs/>
                <w:sz w:val="22"/>
                <w:szCs w:val="22"/>
                <w:u w:val="single"/>
              </w:rPr>
              <w:tab/>
            </w:r>
            <w:r w:rsidRPr="004246B0">
              <w:rPr>
                <w:rFonts w:cs="Arial"/>
                <w:bCs/>
                <w:sz w:val="22"/>
                <w:szCs w:val="22"/>
                <w:u w:val="single"/>
              </w:rPr>
              <w:tab/>
            </w:r>
            <w:r w:rsidRPr="004246B0">
              <w:rPr>
                <w:rFonts w:cs="Arial"/>
                <w:bCs/>
                <w:sz w:val="22"/>
                <w:szCs w:val="22"/>
                <w:u w:val="single"/>
              </w:rPr>
              <w:tab/>
            </w:r>
            <w:r w:rsidRPr="004246B0">
              <w:rPr>
                <w:rFonts w:cs="Arial"/>
                <w:bCs/>
                <w:sz w:val="22"/>
                <w:szCs w:val="22"/>
                <w:u w:val="single"/>
              </w:rPr>
              <w:tab/>
            </w:r>
            <w:r w:rsidR="00132EA2">
              <w:rPr>
                <w:rFonts w:cs="Arial"/>
                <w:bCs/>
                <w:sz w:val="22"/>
                <w:szCs w:val="22"/>
                <w:u w:val="single"/>
              </w:rPr>
              <w:t>15</w:t>
            </w:r>
            <w:r w:rsidRPr="004246B0">
              <w:rPr>
                <w:rFonts w:cs="Arial"/>
                <w:bCs/>
                <w:sz w:val="22"/>
                <w:szCs w:val="22"/>
                <w:u w:val="single"/>
              </w:rPr>
              <w:t>%</w:t>
            </w:r>
          </w:p>
          <w:p w:rsidR="005C7595" w:rsidRPr="004246B0" w:rsidRDefault="005C7595" w:rsidP="005C7595">
            <w:pPr>
              <w:pStyle w:val="BodyText"/>
              <w:spacing w:line="240" w:lineRule="auto"/>
              <w:ind w:left="1134" w:firstLine="284"/>
              <w:rPr>
                <w:rFonts w:cs="Arial"/>
                <w:bCs/>
                <w:sz w:val="22"/>
                <w:szCs w:val="22"/>
              </w:rPr>
            </w:pPr>
            <w:r w:rsidRPr="004246B0">
              <w:rPr>
                <w:rFonts w:cs="Arial"/>
                <w:bCs/>
                <w:sz w:val="22"/>
                <w:szCs w:val="22"/>
              </w:rPr>
              <w:t>Final Mark</w:t>
            </w:r>
            <w:r w:rsidRPr="004246B0">
              <w:rPr>
                <w:rFonts w:cs="Arial"/>
                <w:bCs/>
                <w:sz w:val="22"/>
                <w:szCs w:val="22"/>
              </w:rPr>
              <w:tab/>
            </w:r>
            <w:r w:rsidRPr="004246B0">
              <w:rPr>
                <w:rFonts w:cs="Arial"/>
                <w:bCs/>
                <w:sz w:val="22"/>
                <w:szCs w:val="22"/>
              </w:rPr>
              <w:tab/>
            </w:r>
            <w:r w:rsidRPr="004246B0">
              <w:rPr>
                <w:rFonts w:cs="Arial"/>
                <w:bCs/>
                <w:sz w:val="22"/>
                <w:szCs w:val="22"/>
              </w:rPr>
              <w:tab/>
            </w:r>
            <w:r w:rsidRPr="004246B0">
              <w:rPr>
                <w:rFonts w:cs="Arial"/>
                <w:bCs/>
                <w:sz w:val="22"/>
                <w:szCs w:val="22"/>
              </w:rPr>
              <w:tab/>
            </w:r>
            <w:r w:rsidRPr="004246B0">
              <w:rPr>
                <w:rFonts w:cs="Arial"/>
                <w:bCs/>
                <w:sz w:val="22"/>
                <w:szCs w:val="22"/>
              </w:rPr>
              <w:tab/>
              <w:t>100%</w:t>
            </w:r>
          </w:p>
          <w:p w:rsidR="005C7595" w:rsidRDefault="005C7595" w:rsidP="00FB3747">
            <w:pPr>
              <w:rPr>
                <w:rFonts w:ascii="Arial" w:hAnsi="Arial" w:cs="Arial"/>
              </w:rPr>
            </w:pPr>
          </w:p>
          <w:p w:rsidR="004246B0" w:rsidRDefault="004246B0" w:rsidP="004246B0">
            <w:pPr>
              <w:rPr>
                <w:rFonts w:ascii="Arial" w:hAnsi="Arial" w:cs="Arial"/>
                <w:i/>
                <w:lang w:val="en-US"/>
              </w:rPr>
            </w:pPr>
            <w:r w:rsidRPr="004246B0">
              <w:rPr>
                <w:rFonts w:ascii="Arial" w:hAnsi="Arial" w:cs="Arial"/>
                <w:lang w:val="en-US"/>
              </w:rPr>
              <w:t xml:space="preserve">All curriculum expectations will be accounted for in instruction, but evaluation focuses on students’ achievement of the </w:t>
            </w:r>
            <w:r w:rsidRPr="004246B0">
              <w:rPr>
                <w:rFonts w:ascii="Arial" w:hAnsi="Arial" w:cs="Arial"/>
                <w:i/>
                <w:iCs/>
                <w:lang w:val="en-US"/>
              </w:rPr>
              <w:t>overall</w:t>
            </w:r>
            <w:r w:rsidRPr="004246B0">
              <w:rPr>
                <w:rFonts w:ascii="Arial" w:hAnsi="Arial" w:cs="Arial"/>
                <w:lang w:val="en-US"/>
              </w:rPr>
              <w:t xml:space="preserve"> ex</w:t>
            </w:r>
            <w:r>
              <w:rPr>
                <w:rFonts w:ascii="Arial" w:hAnsi="Arial" w:cs="Arial"/>
                <w:lang w:val="en-US"/>
              </w:rPr>
              <w:t xml:space="preserve">pectations. </w:t>
            </w:r>
            <w:r w:rsidRPr="004246B0">
              <w:rPr>
                <w:rFonts w:ascii="Arial" w:hAnsi="Arial" w:cs="Arial"/>
                <w:lang w:val="en-US"/>
              </w:rPr>
              <w:t xml:space="preserve">Teachers will ensure that student work is assessed and/or evaluated in a balanced manner with respect </w:t>
            </w:r>
            <w:r>
              <w:rPr>
                <w:rFonts w:ascii="Arial" w:hAnsi="Arial" w:cs="Arial"/>
                <w:lang w:val="en-US"/>
              </w:rPr>
              <w:t xml:space="preserve">to the four categories of the achievement chart in the Ontario Curriculum </w:t>
            </w:r>
            <w:r w:rsidRPr="004246B0">
              <w:rPr>
                <w:rFonts w:ascii="Arial" w:hAnsi="Arial" w:cs="Arial"/>
                <w:i/>
                <w:lang w:val="en-US"/>
              </w:rPr>
              <w:t>(Knowledge and Understanding, Thinking and Inquiry, Communication, Application).</w:t>
            </w:r>
          </w:p>
          <w:p w:rsidR="003504A7" w:rsidRDefault="003504A7" w:rsidP="004246B0">
            <w:pPr>
              <w:rPr>
                <w:rFonts w:ascii="Arial" w:hAnsi="Arial" w:cs="Arial"/>
                <w:i/>
                <w:lang w:val="en-US"/>
              </w:rPr>
            </w:pPr>
          </w:p>
          <w:p w:rsidR="003504A7" w:rsidRDefault="003504A7" w:rsidP="003504A7">
            <w:pPr>
              <w:rPr>
                <w:rFonts w:ascii="Arial" w:hAnsi="Arial" w:cs="Arial"/>
              </w:rPr>
            </w:pPr>
            <w:r w:rsidRPr="003504A7">
              <w:rPr>
                <w:rFonts w:ascii="Arial" w:hAnsi="Arial" w:cs="Arial"/>
              </w:rPr>
              <w:t>Students will be given multiple opportunities to demonstrate and meet the curriculum expectations as outlined above through a variety of assessments including, but not limited to</w:t>
            </w:r>
            <w:r w:rsidR="00A648E9">
              <w:rPr>
                <w:rFonts w:ascii="Arial" w:hAnsi="Arial" w:cs="Arial"/>
              </w:rPr>
              <w:t>:</w:t>
            </w:r>
            <w:r w:rsidRPr="003504A7">
              <w:rPr>
                <w:rFonts w:ascii="Arial" w:hAnsi="Arial" w:cs="Arial"/>
              </w:rPr>
              <w:t xml:space="preserve"> conversations, </w:t>
            </w:r>
            <w:r>
              <w:rPr>
                <w:rFonts w:ascii="Arial" w:hAnsi="Arial" w:cs="Arial"/>
              </w:rPr>
              <w:t>o</w:t>
            </w:r>
            <w:r w:rsidRPr="003504A7">
              <w:rPr>
                <w:rFonts w:ascii="Arial" w:hAnsi="Arial" w:cs="Arial"/>
              </w:rPr>
              <w:t>bservations, presentations, quizzes, tests, a final examination and other products.</w:t>
            </w:r>
          </w:p>
          <w:p w:rsidR="003504A7" w:rsidRDefault="003504A7" w:rsidP="003504A7">
            <w:pPr>
              <w:rPr>
                <w:rFonts w:ascii="Arial" w:hAnsi="Arial" w:cs="Arial"/>
              </w:rPr>
            </w:pPr>
          </w:p>
          <w:p w:rsidR="000749AA" w:rsidRPr="000749AA" w:rsidRDefault="000749AA" w:rsidP="000749AA">
            <w:pPr>
              <w:rPr>
                <w:rFonts w:ascii="Arial" w:hAnsi="Arial" w:cs="Arial"/>
                <w:lang w:val="en-US"/>
              </w:rPr>
            </w:pPr>
            <w:r w:rsidRPr="000749AA">
              <w:rPr>
                <w:rFonts w:ascii="Arial" w:hAnsi="Arial" w:cs="Arial"/>
                <w:lang w:val="en-US"/>
              </w:rPr>
              <w:t xml:space="preserve">Teachers will take various considerations into account before making a decision about the grade to enter on the report card. Determining a </w:t>
            </w:r>
            <w:r>
              <w:rPr>
                <w:rFonts w:ascii="Arial" w:hAnsi="Arial" w:cs="Arial"/>
                <w:lang w:val="en-US"/>
              </w:rPr>
              <w:t>final</w:t>
            </w:r>
            <w:r w:rsidRPr="000749AA">
              <w:rPr>
                <w:rFonts w:ascii="Arial" w:hAnsi="Arial" w:cs="Arial"/>
                <w:lang w:val="en-US"/>
              </w:rPr>
              <w:t xml:space="preserve"> grade will involve a teacher’s professional judgment and interpretation of the evidence, and should reflect the student’s most consistent level of achievement, with special consideration given to the most recent evidence.</w:t>
            </w:r>
          </w:p>
          <w:p w:rsidR="003504A7" w:rsidRPr="003504A7" w:rsidRDefault="003504A7" w:rsidP="003504A7">
            <w:pPr>
              <w:rPr>
                <w:rFonts w:ascii="Arial" w:hAnsi="Arial" w:cs="Arial"/>
                <w:lang w:val="en-US"/>
              </w:rPr>
            </w:pPr>
          </w:p>
          <w:p w:rsidR="005C7595" w:rsidRPr="005C7595" w:rsidRDefault="000749AA" w:rsidP="00FB3747">
            <w:pPr>
              <w:rPr>
                <w:rFonts w:ascii="Arial" w:hAnsi="Arial" w:cs="Arial"/>
              </w:rPr>
            </w:pPr>
            <w:r w:rsidRPr="000749AA">
              <w:rPr>
                <w:rFonts w:ascii="Arial" w:hAnsi="Arial" w:cs="Arial"/>
              </w:rPr>
              <w:t>In addition to curriculum expectations, students' learning skills will be assessed throughout the course, and will be communicated during the reporting period.</w:t>
            </w:r>
            <w:r>
              <w:rPr>
                <w:rFonts w:ascii="Arial" w:hAnsi="Arial" w:cs="Arial"/>
              </w:rPr>
              <w:t xml:space="preserve"> The six learning skills (</w:t>
            </w:r>
            <w:r w:rsidRPr="000749AA">
              <w:rPr>
                <w:rFonts w:ascii="Arial" w:hAnsi="Arial" w:cs="Arial"/>
                <w:lang w:val="en-US"/>
              </w:rPr>
              <w:t>Responsibility, Organization, Independent Work, Collaboration, In</w:t>
            </w:r>
            <w:r>
              <w:rPr>
                <w:rFonts w:ascii="Arial" w:hAnsi="Arial" w:cs="Arial"/>
                <w:lang w:val="en-US"/>
              </w:rPr>
              <w:t xml:space="preserve">itiative, and Self-Regulation) will be evaluated using a four point </w:t>
            </w:r>
            <w:r w:rsidRPr="000749AA">
              <w:rPr>
                <w:rFonts w:ascii="Arial" w:hAnsi="Arial" w:cs="Arial"/>
                <w:lang w:val="en-US"/>
              </w:rPr>
              <w:t>scale (</w:t>
            </w:r>
            <w:r w:rsidRPr="000749AA">
              <w:rPr>
                <w:rFonts w:ascii="Arial" w:hAnsi="Arial" w:cs="Arial"/>
              </w:rPr>
              <w:t>E—Excellent, G—Good, S—Satisfactory, N—Needs Improvement)</w:t>
            </w:r>
            <w:r>
              <w:rPr>
                <w:rFonts w:ascii="Arial" w:hAnsi="Arial" w:cs="Arial"/>
              </w:rPr>
              <w:t>.</w:t>
            </w:r>
          </w:p>
        </w:tc>
      </w:tr>
    </w:tbl>
    <w:p w:rsidR="00A648E9" w:rsidRDefault="00A648E9" w:rsidP="00FB3747">
      <w:pPr>
        <w:spacing w:after="0" w:line="240" w:lineRule="auto"/>
        <w:rPr>
          <w:rFonts w:ascii="Arial" w:hAnsi="Arial" w:cs="Arial"/>
          <w:sz w:val="24"/>
        </w:rPr>
      </w:pPr>
    </w:p>
    <w:sectPr w:rsidR="00A648E9" w:rsidSect="00A648E9">
      <w:pgSz w:w="12240" w:h="15840"/>
      <w:pgMar w:top="992" w:right="1134" w:bottom="99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747"/>
    <w:rsid w:val="000749AA"/>
    <w:rsid w:val="00132EA2"/>
    <w:rsid w:val="00196674"/>
    <w:rsid w:val="001B1C92"/>
    <w:rsid w:val="002F12E1"/>
    <w:rsid w:val="003504A7"/>
    <w:rsid w:val="00390CFB"/>
    <w:rsid w:val="00404B5B"/>
    <w:rsid w:val="004246B0"/>
    <w:rsid w:val="00427CE1"/>
    <w:rsid w:val="005C7595"/>
    <w:rsid w:val="006E2428"/>
    <w:rsid w:val="00A648E9"/>
    <w:rsid w:val="00FB3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37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B3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747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semiHidden/>
    <w:unhideWhenUsed/>
    <w:rsid w:val="005C7595"/>
    <w:pPr>
      <w:widowControl w:val="0"/>
      <w:suppressAutoHyphens/>
      <w:spacing w:after="0" w:line="360" w:lineRule="auto"/>
      <w:jc w:val="both"/>
    </w:pPr>
    <w:rPr>
      <w:rFonts w:ascii="Arial" w:eastAsia="Times New Roman" w:hAnsi="Arial" w:cs="Times New Roman"/>
      <w:sz w:val="28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5C7595"/>
    <w:rPr>
      <w:rFonts w:ascii="Arial" w:eastAsia="Times New Roman" w:hAnsi="Arial" w:cs="Times New Roman"/>
      <w:sz w:val="28"/>
      <w:szCs w:val="20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37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B3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747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semiHidden/>
    <w:unhideWhenUsed/>
    <w:rsid w:val="005C7595"/>
    <w:pPr>
      <w:widowControl w:val="0"/>
      <w:suppressAutoHyphens/>
      <w:spacing w:after="0" w:line="360" w:lineRule="auto"/>
      <w:jc w:val="both"/>
    </w:pPr>
    <w:rPr>
      <w:rFonts w:ascii="Arial" w:eastAsia="Times New Roman" w:hAnsi="Arial" w:cs="Times New Roman"/>
      <w:sz w:val="28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5C7595"/>
    <w:rPr>
      <w:rFonts w:ascii="Arial" w:eastAsia="Times New Roman" w:hAnsi="Arial" w:cs="Times New Roman"/>
      <w:sz w:val="28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6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HWDSB</Company>
  <LinksUpToDate>false</LinksUpToDate>
  <CharactersWithSpaces>3869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HWDSB</dc:creator>
  <cp:lastModifiedBy>HWDSB</cp:lastModifiedBy>
  <cp:revision>3</cp:revision>
  <dcterms:created xsi:type="dcterms:W3CDTF">2015-01-27T14:50:00Z</dcterms:created>
  <dcterms:modified xsi:type="dcterms:W3CDTF">2015-01-29T12:27:00Z</dcterms:modified>
</cp:coreProperties>
</file>